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proofErr w:type="gramStart"/>
      <w:r w:rsidRPr="001127BE">
        <w:rPr>
          <w:rFonts w:eastAsia="標楷體"/>
          <w:color w:val="000000"/>
          <w:sz w:val="28"/>
          <w:szCs w:val="28"/>
        </w:rPr>
        <w:t>學年度精進</w:t>
      </w:r>
      <w:proofErr w:type="gramEnd"/>
      <w:r w:rsidRPr="001127BE">
        <w:rPr>
          <w:rFonts w:eastAsia="標楷體"/>
          <w:color w:val="000000"/>
          <w:sz w:val="28"/>
          <w:szCs w:val="28"/>
        </w:rPr>
        <w:t>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</w:t>
            </w:r>
            <w:proofErr w:type="gramStart"/>
            <w:r w:rsidRPr="001127BE">
              <w:rPr>
                <w:rFonts w:eastAsia="標楷體"/>
                <w:color w:val="000000"/>
                <w:shd w:val="clear" w:color="auto" w:fill="FFFFFF"/>
              </w:rPr>
              <w:t>埔</w:t>
            </w:r>
            <w:proofErr w:type="gramEnd"/>
            <w:r w:rsidRPr="001127BE">
              <w:rPr>
                <w:rFonts w:eastAsia="標楷體"/>
                <w:color w:val="000000"/>
                <w:shd w:val="clear" w:color="auto" w:fill="FFFFFF"/>
              </w:rPr>
              <w:t>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>
      <w:bookmarkStart w:id="0" w:name="_GoBack"/>
      <w:bookmarkEnd w:id="0"/>
    </w:p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D"/>
    <w:rsid w:val="0034650D"/>
    <w:rsid w:val="005B52DF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96E0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WesesTeacher</cp:lastModifiedBy>
  <cp:revision>2</cp:revision>
  <dcterms:created xsi:type="dcterms:W3CDTF">2022-02-14T08:56:00Z</dcterms:created>
  <dcterms:modified xsi:type="dcterms:W3CDTF">2022-02-14T08:58:00Z</dcterms:modified>
</cp:coreProperties>
</file>